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112DF" w:rsidR="00BB7E04" w:rsidRDefault="007A3023" w14:paraId="6C209650" wp14:textId="77777777">
      <w:pPr>
        <w:spacing w:after="200" w:line="240" w:lineRule="auto"/>
        <w:jc w:val="right"/>
        <w:rPr>
          <w:rFonts w:ascii="Corbel" w:hAnsi="Corbel" w:eastAsia="Corbel" w:cs="Corbel"/>
          <w:i/>
          <w:sz w:val="20"/>
          <w:szCs w:val="20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bookmarkStart w:name="_GoBack" w:id="0"/>
      <w:r w:rsidRPr="00E112DF">
        <w:rPr>
          <w:rFonts w:ascii="Corbel" w:hAnsi="Corbel" w:eastAsia="Corbel" w:cs="Corbel"/>
          <w:i/>
          <w:sz w:val="20"/>
          <w:szCs w:val="20"/>
        </w:rPr>
        <w:t xml:space="preserve">Załącznik nr 1.5 do Zarządzenia Rektora </w:t>
      </w:r>
      <w:proofErr w:type="spellStart"/>
      <w:r w:rsidRPr="00E112DF">
        <w:rPr>
          <w:rFonts w:ascii="Corbel" w:hAnsi="Corbel" w:eastAsia="Corbel" w:cs="Corbel"/>
          <w:i/>
          <w:sz w:val="20"/>
          <w:szCs w:val="20"/>
        </w:rPr>
        <w:t>UR</w:t>
      </w:r>
      <w:proofErr w:type="spellEnd"/>
      <w:r w:rsidRPr="00E112DF">
        <w:rPr>
          <w:rFonts w:ascii="Corbel" w:hAnsi="Corbel" w:eastAsia="Corbel" w:cs="Corbel"/>
          <w:i/>
          <w:sz w:val="20"/>
          <w:szCs w:val="20"/>
        </w:rPr>
        <w:t xml:space="preserve">  nr 12/2019</w:t>
      </w:r>
      <w:bookmarkEnd w:id="0"/>
    </w:p>
    <w:p xmlns:wp14="http://schemas.microsoft.com/office/word/2010/wordml" w:rsidR="00BB7E04" w:rsidRDefault="007A3023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BB7E04" w:rsidRDefault="007A3023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BB7E04" w:rsidRDefault="007A3023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BB7E04" w:rsidRDefault="007A3023" w14:paraId="7987C749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2019/2020</w:t>
      </w:r>
    </w:p>
    <w:p xmlns:wp14="http://schemas.microsoft.com/office/word/2010/wordml" w:rsidR="00BB7E04" w:rsidRDefault="00BB7E04" w14:paraId="672A6659" wp14:textId="77777777">
      <w:pPr>
        <w:spacing w:after="0" w:line="240" w:lineRule="auto"/>
        <w:jc w:val="center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xmlns:wp14="http://schemas.microsoft.com/office/word/2010/wordml" w:rsidR="00BB7E04" w14:paraId="5FE1F33F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38DFC0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Ustrój polityczny RP</w:t>
            </w:r>
          </w:p>
        </w:tc>
      </w:tr>
      <w:tr xmlns:wp14="http://schemas.microsoft.com/office/word/2010/wordml" w:rsidR="00BB7E04" w14:paraId="10F8C1C5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B0C5E7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BW20</w:t>
            </w:r>
          </w:p>
        </w:tc>
      </w:tr>
      <w:tr xmlns:wp14="http://schemas.microsoft.com/office/word/2010/wordml" w:rsidR="00BB7E04" w14:paraId="5C0172E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E3E3000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14:paraId="0AEA36E1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4F259B7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Kolegium Nauk Społecznych</w:t>
            </w:r>
          </w:p>
        </w:tc>
      </w:tr>
      <w:tr xmlns:wp14="http://schemas.microsoft.com/office/word/2010/wordml" w:rsidR="00BB7E04" w14:paraId="2E34D1D7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7EEADC9" wp14:textId="77777777">
            <w:pPr>
              <w:spacing w:after="200" w:line="240" w:lineRule="auto"/>
            </w:pPr>
            <w:r>
              <w:rPr>
                <w:rFonts w:ascii="Corbel" w:hAnsi="Corbel" w:eastAsia="Corbel" w:cs="Corbel"/>
                <w:sz w:val="24"/>
              </w:rPr>
              <w:t>Bezpieczeństwo wewnętrzne</w:t>
            </w:r>
          </w:p>
        </w:tc>
      </w:tr>
      <w:tr xmlns:wp14="http://schemas.microsoft.com/office/word/2010/wordml" w:rsidR="00BB7E04" w14:paraId="11529C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C90E25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BB7E04" w14:paraId="77AD840C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BB7E04" w14:paraId="629FB805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652D93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niestacjonarne</w:t>
            </w:r>
          </w:p>
        </w:tc>
      </w:tr>
      <w:tr xmlns:wp14="http://schemas.microsoft.com/office/word/2010/wordml" w:rsidR="00BB7E04" w14:paraId="4105CF51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90AC12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I, semestr pierwszy</w:t>
            </w:r>
          </w:p>
        </w:tc>
      </w:tr>
      <w:tr xmlns:wp14="http://schemas.microsoft.com/office/word/2010/wordml" w:rsidR="00BB7E04" w14:paraId="35EFD2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9D6B86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Przedmiot obowiązkowy</w:t>
            </w:r>
          </w:p>
        </w:tc>
      </w:tr>
      <w:tr xmlns:wp14="http://schemas.microsoft.com/office/word/2010/wordml" w:rsidR="00BB7E04" w14:paraId="3CF1D5B2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209F0E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Polski </w:t>
            </w:r>
          </w:p>
        </w:tc>
      </w:tr>
      <w:tr xmlns:wp14="http://schemas.microsoft.com/office/word/2010/wordml" w:rsidR="00BB7E04" w14:paraId="21862604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7F49251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  <w:tr xmlns:wp14="http://schemas.microsoft.com/office/word/2010/wordml" w:rsidR="00BB7E04" w14:paraId="56850A0E" wp14:textId="77777777"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167E45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Dominik Szczepański</w:t>
            </w:r>
          </w:p>
        </w:tc>
      </w:tr>
    </w:tbl>
    <w:p xmlns:wp14="http://schemas.microsoft.com/office/word/2010/wordml" w:rsidR="00BB7E04" w:rsidRDefault="007A3023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BB7E04" w:rsidRDefault="00BB7E04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BB7E04" w14:paraId="4A00F406" wp14:textId="77777777">
        <w:trPr>
          <w:trHeight w:val="1"/>
        </w:trPr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BB7E04" w:rsidRDefault="007A3023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BB7E04" w14:paraId="20D92EEB" wp14:textId="77777777">
        <w:tc>
          <w:tcPr>
            <w:tcW w:w="1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906B3E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BB7E04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5FCD5EC4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</w:tr>
    </w:tbl>
    <w:p xmlns:wp14="http://schemas.microsoft.com/office/word/2010/wordml" w:rsidR="00BB7E04" w:rsidRDefault="00BB7E04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5A39BBE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BB7E04" w:rsidRDefault="007A3023" w14:paraId="6B4DA59D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BB7E04" w:rsidRDefault="007A3023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BB7E04" w:rsidRDefault="00BB7E04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BB7E04" w:rsidRDefault="00BB7E04" w14:paraId="72A3D3EC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5D48E7E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zaliczenie z oceną</w:t>
      </w:r>
    </w:p>
    <w:p xmlns:wp14="http://schemas.microsoft.com/office/word/2010/wordml" w:rsidR="00BB7E04" w:rsidRDefault="00BB7E04" w14:paraId="0D0B940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46FEA26D" wp14:textId="77777777"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3797514" wp14:textId="77777777">
            <w:pPr>
              <w:spacing w:before="40" w:after="40" w:line="240" w:lineRule="auto"/>
              <w:jc w:val="both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Opanowane wiadomości z przedmiotu wiedza o społeczeństwie, znajomość (w stopniu podstawowym) zagadnień związanych z życiem politycznym i społecznym.</w:t>
            </w:r>
          </w:p>
          <w:p w:rsidR="00BB7E04" w:rsidRDefault="00BB7E04" w14:paraId="44EAFD9C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</w:p>
          <w:p w:rsidR="00BB7E04" w:rsidRDefault="00BB7E04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BB7E04" w:rsidRDefault="00BB7E04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BB7E04" w:rsidRDefault="00BB7E04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BB7E04" w:rsidRDefault="00BB7E04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xmlns:wp14="http://schemas.microsoft.com/office/word/2010/wordml" w:rsidR="00BB7E04" w14:paraId="19CEA748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6780E770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C1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29A9C82E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Zaznajomienie studenta z systemem politycznym RP poprzez analizę regulacji konstytucyjnych.</w:t>
            </w:r>
          </w:p>
        </w:tc>
      </w:tr>
      <w:tr xmlns:wp14="http://schemas.microsoft.com/office/word/2010/wordml" w:rsidR="00BB7E04" w14:paraId="17027214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50CF7E8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70CDABC4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Uzyskanie wiedzy, umiejętności oraz kompetencji związanych z zasadami ustrojowymi Trzeciej Rzeczypospolitej.</w:t>
            </w:r>
          </w:p>
        </w:tc>
      </w:tr>
      <w:tr xmlns:wp14="http://schemas.microsoft.com/office/word/2010/wordml" w:rsidR="00BB7E04" w14:paraId="78B2D1B3" wp14:textId="77777777">
        <w:trPr>
          <w:trHeight w:val="1"/>
        </w:trPr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3C0B3C4" wp14:textId="77777777">
            <w:pPr>
              <w:spacing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B202701" wp14:textId="77777777">
            <w:pPr>
              <w:spacing w:after="200" w:line="240" w:lineRule="auto"/>
              <w:ind w:left="100"/>
              <w:jc w:val="center"/>
            </w:pPr>
            <w:r>
              <w:rPr>
                <w:rFonts w:ascii="Corbel" w:hAnsi="Corbel" w:eastAsia="Corbel" w:cs="Corbel"/>
                <w:sz w:val="24"/>
              </w:rPr>
              <w:t>Przedstawienie studentom oraz reguł funkcjonowania systemu organów władzy publicznej.</w:t>
            </w:r>
          </w:p>
        </w:tc>
      </w:tr>
    </w:tbl>
    <w:p xmlns:wp14="http://schemas.microsoft.com/office/word/2010/wordml" w:rsidR="00BB7E04" w:rsidRDefault="00BB7E04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BB7E04" w:rsidRDefault="007A3023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4"/>
        <w:gridCol w:w="5690"/>
        <w:gridCol w:w="1846"/>
      </w:tblGrid>
      <w:tr xmlns:wp14="http://schemas.microsoft.com/office/word/2010/wordml" w:rsidR="00BB7E04" w14:paraId="61F38664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B7E04" w:rsidRDefault="007A3023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BB7E04" w14:paraId="0CEDD1F1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4FCA5964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A826C84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ma  wiedzę  o  procesach  zmian  w  ustrojach  państw, systemach   politycznych,   administracji,   gospodarce   i systemach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BB7E04" w14:paraId="56D500DA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62486C05" wp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</w:rPr>
            </w:pPr>
          </w:p>
          <w:p w:rsidR="00BB7E04" w:rsidRDefault="007A3023" w14:paraId="56A76B19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1B5977BA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posiada wiedzę na temat rodzajów struktur społecznych i instytucji życia społecznego oraz zachodzących pomiędzy nimi relacjach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BB7E04" w14:paraId="6F30A0F8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1960800" wp14:textId="77777777">
            <w:pPr>
              <w:spacing w:after="200" w:line="240" w:lineRule="auto"/>
              <w:ind w:right="320"/>
              <w:jc w:val="both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057FC19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CFCD0C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K_U01</w:t>
            </w:r>
          </w:p>
        </w:tc>
      </w:tr>
      <w:tr xmlns:wp14="http://schemas.microsoft.com/office/word/2010/wordml" w:rsidR="00BB7E04" w14:paraId="6AF6563E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8C3198C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40592B7C" wp14:textId="77777777">
            <w:pPr>
              <w:spacing w:after="20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potrafi  dokonać  obserwacji  i  interpretacji  stosunków społecznych, prawnych,  politycznych,  ekonomicznych  kulturowych w naukach o bezpieczeństwie oraz w zakresie pokrewnych dyscyplin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E723246" wp14:textId="77777777">
            <w:pPr>
              <w:spacing w:before="240" w:after="20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BB7E04" w14:paraId="43FF1A1F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4357262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34FCC718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przygotowany  do  aktywnego  uczestnictwa  w  życiu społecznym, politycznym  i  zawodowym  na  poziomie lokalnym  i  regionalnym,  w  tym  w  specjalistycznych służbach, inspekcjach i strażach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4E3E2D9" wp14:textId="77777777">
            <w:pPr>
              <w:spacing w:after="200" w:line="240" w:lineRule="auto"/>
              <w:ind w:left="6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K_K01</w:t>
            </w:r>
          </w:p>
        </w:tc>
      </w:tr>
      <w:tr xmlns:wp14="http://schemas.microsoft.com/office/word/2010/wordml" w:rsidR="00BB7E04" w14:paraId="3B8581DB" wp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39A5216" wp14:textId="77777777">
            <w:pPr>
              <w:spacing w:after="0" w:line="240" w:lineRule="auto"/>
              <w:jc w:val="both"/>
            </w:pPr>
            <w:r>
              <w:rPr>
                <w:rFonts w:ascii="Corbel" w:hAnsi="Corbel" w:eastAsia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02CB96BD" wp14:textId="77777777">
            <w:pPr>
              <w:spacing w:after="200" w:line="258" w:lineRule="auto"/>
              <w:ind w:left="60"/>
              <w:jc w:val="both"/>
            </w:pPr>
            <w:r>
              <w:rPr>
                <w:rFonts w:ascii="Corbel" w:hAnsi="Corbel" w:eastAsia="Corbel" w:cs="Corbel"/>
                <w:sz w:val="24"/>
              </w:rPr>
              <w:t>jest   przygotowany   do   uczestnictwa   w   projektach   i organizacjach   społecznych   w   zakresie   współczesnych aspektów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B7E04" w:rsidRDefault="007A3023" w14:paraId="5B2AA153" wp14:textId="77777777">
            <w:pPr>
              <w:spacing w:after="200" w:line="240" w:lineRule="auto"/>
              <w:ind w:right="20"/>
              <w:jc w:val="center"/>
            </w:pPr>
            <w:r>
              <w:rPr>
                <w:rFonts w:ascii="Corbel" w:hAnsi="Corbel" w:eastAsia="Corbel" w:cs="Corbel"/>
                <w:sz w:val="24"/>
              </w:rPr>
              <w:t>K_K03</w:t>
            </w:r>
          </w:p>
        </w:tc>
      </w:tr>
    </w:tbl>
    <w:p xmlns:wp14="http://schemas.microsoft.com/office/word/2010/wordml" w:rsidR="00BB7E04" w:rsidRDefault="00BB7E04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BB7E04" w:rsidRDefault="007A3023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BB7E04" w:rsidRDefault="00BB7E04" w14:paraId="4B99056E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87EA2A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1299C43A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4DDBEF00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3461D779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3CF2D8B6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FB78278" wp14:textId="77777777"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1FC39945" wp14:textId="77777777">
            <w:pPr>
              <w:spacing w:after="0" w:line="240" w:lineRule="auto"/>
              <w:ind w:left="-250" w:firstLine="250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14:paraId="55225495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BB7E04" w14:paraId="5EE36516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2F8915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Konstytucyjne podstawy ustroju politycznego Rzeczypospolitej Polskiej</w:t>
            </w:r>
          </w:p>
        </w:tc>
      </w:tr>
      <w:tr xmlns:wp14="http://schemas.microsoft.com/office/word/2010/wordml" w:rsidR="00BB7E04" w14:paraId="2CB69C7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B94F25F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Przygotowanie, uchwalenie, tryb zmiany Konstytucji RP</w:t>
            </w:r>
          </w:p>
        </w:tc>
      </w:tr>
      <w:tr xmlns:wp14="http://schemas.microsoft.com/office/word/2010/wordml" w:rsidR="00BB7E04" w14:paraId="4C83F16A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1EE042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Podstawowe zasady ustrojowe RP</w:t>
            </w:r>
          </w:p>
        </w:tc>
      </w:tr>
      <w:tr xmlns:wp14="http://schemas.microsoft.com/office/word/2010/wordml" w:rsidR="00BB7E04" w14:paraId="07D8BD93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2C5B45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Wolności, prawa i obowiązki człowieka i obywatela</w:t>
            </w:r>
          </w:p>
        </w:tc>
      </w:tr>
      <w:tr xmlns:wp14="http://schemas.microsoft.com/office/word/2010/wordml" w:rsidR="00BB7E04" w14:paraId="489812B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B5AF65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źródeł prawa RP</w:t>
            </w:r>
          </w:p>
        </w:tc>
      </w:tr>
      <w:tr xmlns:wp14="http://schemas.microsoft.com/office/word/2010/wordml" w:rsidR="00BB7E04" w14:paraId="7A17C269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6D3BE565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System organów państwowych RP</w:t>
            </w:r>
          </w:p>
        </w:tc>
      </w:tr>
      <w:tr xmlns:wp14="http://schemas.microsoft.com/office/word/2010/wordml" w:rsidR="00BB7E04" w14:paraId="59963D31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AB3FC6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Zasady prawa wyborczego RP</w:t>
            </w:r>
          </w:p>
        </w:tc>
      </w:tr>
      <w:tr xmlns:wp14="http://schemas.microsoft.com/office/word/2010/wordml" w:rsidR="00BB7E04" w14:paraId="502CC43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082F50B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Sejm i Senat</w:t>
            </w:r>
          </w:p>
        </w:tc>
      </w:tr>
      <w:tr xmlns:wp14="http://schemas.microsoft.com/office/word/2010/wordml" w:rsidR="00BB7E04" w14:paraId="06E6333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9F39B6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Prezydent RP</w:t>
            </w:r>
          </w:p>
        </w:tc>
      </w:tr>
      <w:tr xmlns:wp14="http://schemas.microsoft.com/office/word/2010/wordml" w:rsidR="00BB7E04" w14:paraId="32B0B3FC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1144E1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Rada Ministrów i administracja rządowa</w:t>
            </w:r>
          </w:p>
        </w:tc>
      </w:tr>
      <w:tr xmlns:wp14="http://schemas.microsoft.com/office/word/2010/wordml" w:rsidR="00BB7E04" w14:paraId="5C571B47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63D6BFC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Samorząd terytorialny</w:t>
            </w:r>
          </w:p>
        </w:tc>
      </w:tr>
      <w:tr xmlns:wp14="http://schemas.microsoft.com/office/word/2010/wordml" w:rsidR="00BB7E04" w14:paraId="331B8A7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C89978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Sądy i trybunały w RP</w:t>
            </w:r>
          </w:p>
        </w:tc>
      </w:tr>
      <w:tr xmlns:wp14="http://schemas.microsoft.com/office/word/2010/wordml" w:rsidR="00BB7E04" w14:paraId="22B3BB2B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64C5644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kontroli państwowej</w:t>
            </w:r>
          </w:p>
        </w:tc>
      </w:tr>
      <w:tr xmlns:wp14="http://schemas.microsoft.com/office/word/2010/wordml" w:rsidR="00BB7E04" w14:paraId="0E553350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FB835CA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Organy ochrony prawa</w:t>
            </w:r>
          </w:p>
        </w:tc>
      </w:tr>
      <w:tr xmlns:wp14="http://schemas.microsoft.com/office/word/2010/wordml" w:rsidR="00BB7E04" w14:paraId="2427410D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028468A7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Instytucjonalne gwarancje przestrzegania prawa</w:t>
            </w:r>
          </w:p>
        </w:tc>
      </w:tr>
      <w:tr xmlns:wp14="http://schemas.microsoft.com/office/word/2010/wordml" w:rsidR="00BB7E04" w14:paraId="2CC63D74" wp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291810AD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Stany nadzwyczajne</w:t>
            </w:r>
          </w:p>
        </w:tc>
      </w:tr>
    </w:tbl>
    <w:p xmlns:wp14="http://schemas.microsoft.com/office/word/2010/wordml" w:rsidR="00BB7E04" w:rsidRDefault="00BB7E04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BB7E04" w:rsidRDefault="00BB7E04" w14:paraId="62EBF3C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7EAF635" wp14:textId="77777777">
      <w:pPr>
        <w:spacing w:after="200" w:line="240" w:lineRule="auto"/>
        <w:ind w:right="52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Analiza tekstów z dyskusją, projekcja filmu z dyskusją, metoda projektów (projekt badawczy), praca indywidualna oraz w grupach.</w:t>
      </w:r>
    </w:p>
    <w:p xmlns:wp14="http://schemas.microsoft.com/office/word/2010/wordml" w:rsidR="00BB7E04" w:rsidRDefault="00BB7E04" w14:paraId="6D98A12B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BB7E04" w:rsidRDefault="00BB7E04" w14:paraId="2946DB82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BB7E04" w:rsidRDefault="007A3023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BB7E04" w:rsidRDefault="00BB7E04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BB7E04" w:rsidTr="73B2FAAB" w14:paraId="3CD72C34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BB7E04" w:rsidRDefault="007A3023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BB7E04" w:rsidRDefault="007A3023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BB7E04" w:rsidTr="73B2FAAB" w14:paraId="6CF3C440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01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048068F0" wp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1DBAFF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3B2FAAB" w:rsidRDefault="007A3023" w14:paraId="4DAA6B7E" wp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1DBAFF96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428A96B7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7CF0E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66BA4D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6EA6A6DF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613F571A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1CB95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7AED506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21868E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18B22B19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A04FA7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14C2881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54FF061B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3A5E16CF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30F3D08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3AC84C1E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4912CB7E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xmlns:wp14="http://schemas.microsoft.com/office/word/2010/wordml" w:rsidR="00BB7E04" w:rsidTr="73B2FAAB" w14:paraId="0BD6169B" wp14:textId="77777777">
        <w:trPr>
          <w:trHeight w:val="1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4CA81D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4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D8098D0" w14:textId="64421AE7">
            <w:pPr>
              <w:pStyle w:val="Normalny"/>
              <w:spacing w:after="0" w:line="240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Aktywność studenta</w:t>
            </w:r>
            <w:r w:rsidRPr="73B2FAAB" w:rsidR="73B2FA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podczas zajęć, zaliczenie ustne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73B2FAAB" w:rsidP="73B2FAAB" w:rsidRDefault="73B2FAAB" w14:paraId="1873E441" w14:textId="4CEC938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3B2FAAB" w:rsidR="73B2FAAB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xmlns:wp14="http://schemas.microsoft.com/office/word/2010/wordml" w:rsidR="00BB7E04" w:rsidRDefault="00BB7E04" w14:paraId="110FFD37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BB7E04" w:rsidRDefault="00BB7E04" w14:paraId="6B699379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BB7E04" w:rsidTr="51C192F1" w14:paraId="2DF5BC3F" wp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BB7E04" w14:paraId="3FE9F23F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BB7E04" w:rsidP="51C192F1" w:rsidRDefault="007A3023" w14:paraId="2A38D735" wp14:textId="03FD93CC">
            <w:pPr>
              <w:pStyle w:val="Normalny"/>
              <w:spacing w:after="0" w:line="240" w:lineRule="auto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1C192F1" w:rsidR="007A3023">
              <w:rPr>
                <w:rFonts w:ascii="Corbel" w:hAnsi="Corbel" w:eastAsia="Corbel" w:cs="Corbel"/>
                <w:sz w:val="24"/>
                <w:szCs w:val="24"/>
              </w:rPr>
              <w:t xml:space="preserve">Konwersatorium: sposób: zaliczenie, forma: 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obecność na zajęciach, aktywność, </w:t>
            </w:r>
            <w:r w:rsidRPr="51C192F1" w:rsidR="6BF7610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zaliczenie</w:t>
            </w:r>
            <w:r w:rsidRPr="51C192F1" w:rsidR="5BE0E8F7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ustn</w:t>
            </w:r>
            <w:r w:rsidRPr="51C192F1" w:rsidR="5FABA99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</w:t>
            </w:r>
          </w:p>
          <w:p w:rsidR="00BB7E04" w:rsidRDefault="00BB7E04" w14:paraId="1F72F646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BB7E04" w:rsidRDefault="00BB7E04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BB7E04" w:rsidRDefault="00BB7E04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BB7E04" w:rsidTr="7D56BB4B" w14:paraId="63D9DE79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BB7E04" w:rsidRDefault="007A3023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BB7E04" w:rsidTr="7D56BB4B" w14:paraId="33472E7B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A4FFC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BB7E04" w:rsidTr="7D56BB4B" w14:paraId="7E2B2BD6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BB7E04" w:rsidRDefault="007A3023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D56BB4B" w:rsidRDefault="007A3023" w14:paraId="3D5C510C" wp14:textId="294D0C13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D56BB4B" w:rsidR="766BC2A0">
              <w:rPr>
                <w:rFonts w:ascii="Corbel" w:hAnsi="Corbel" w:eastAsia="Corbel" w:cs="Corbel"/>
                <w:sz w:val="24"/>
                <w:szCs w:val="24"/>
              </w:rPr>
              <w:t>3</w:t>
            </w:r>
            <w:r w:rsidRPr="7D56BB4B" w:rsidR="6AB360EC">
              <w:rPr>
                <w:rFonts w:ascii="Corbel" w:hAnsi="Corbel" w:eastAsia="Corbel" w:cs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="00BB7E04" w:rsidTr="7D56BB4B" w14:paraId="5548879C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BB7E04" w:rsidRDefault="007A3023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7D56BB4B" w:rsidRDefault="007A3023" w14:paraId="491C6846" wp14:textId="201915FA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D56BB4B" w:rsidR="14D0F907">
              <w:rPr>
                <w:rFonts w:ascii="Corbel" w:hAnsi="Corbel" w:eastAsia="Corbel" w:cs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="00BB7E04" w:rsidTr="7D56BB4B" w14:paraId="2CD9AD09" wp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P="40CDB5A0" w:rsidRDefault="007A3023" w14:paraId="5AA05B6E" wp14:textId="5EC454B5">
            <w:pPr>
              <w:pStyle w:val="Normalny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0CDB5A0" w:rsidR="2BC465CA">
              <w:rPr>
                <w:rFonts w:ascii="Corbel" w:hAnsi="Corbel" w:eastAsia="Corbel" w:cs="Corbel"/>
                <w:sz w:val="24"/>
                <w:szCs w:val="24"/>
              </w:rPr>
              <w:t>90</w:t>
            </w:r>
          </w:p>
        </w:tc>
      </w:tr>
      <w:tr xmlns:wp14="http://schemas.microsoft.com/office/word/2010/wordml" w:rsidR="00BB7E04" w:rsidTr="7D56BB4B" w14:paraId="42922784" wp14:textId="77777777">
        <w:trPr>
          <w:trHeight w:val="1"/>
        </w:trPr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0B77815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3</w:t>
            </w:r>
          </w:p>
        </w:tc>
      </w:tr>
    </w:tbl>
    <w:p xmlns:wp14="http://schemas.microsoft.com/office/word/2010/wordml" w:rsidR="00BB7E04" w:rsidRDefault="007A3023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BB7E04" w:rsidRDefault="00BB7E04" w14:paraId="6BB9E253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BB7E04" w:rsidRDefault="00BB7E04" w14:paraId="23DE523C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BB7E04" w14:paraId="146D6691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BB7E04" w14:paraId="05EFD703" wp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7A3023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7E04" w:rsidRDefault="00BB7E04" w14:paraId="07547A0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BB7E04" w:rsidRDefault="00BB7E04" w14:paraId="5043CB0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BB7E04" w:rsidRDefault="00BB7E04" w14:paraId="0745931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BB7E04" w:rsidTr="1AFA2AF8" w14:paraId="3721408B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BB7E04" w:rsidRDefault="007A3023" w14:paraId="6FD5C91E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Konstytucja Rzeczypospolitej Polskiej z 2 kwietnia 1997 r.</w:t>
            </w:r>
          </w:p>
          <w:p w:rsidR="00BB7E04" w:rsidRDefault="007A3023" w14:paraId="07EA67F7" wp14:textId="77777777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i/>
                <w:sz w:val="24"/>
              </w:rPr>
              <w:t>Konstytucyjny system organów państwowych</w:t>
            </w:r>
            <w:r>
              <w:rPr>
                <w:rFonts w:ascii="Corbel" w:hAnsi="Corbel" w:eastAsia="Corbel" w:cs="Corbel"/>
                <w:sz w:val="24"/>
              </w:rPr>
              <w:t xml:space="preserve">, red. E.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Gdulewicz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Lublin 2015.</w:t>
            </w:r>
          </w:p>
          <w:p w:rsidR="00BB7E04" w:rsidP="1AFA2AF8" w:rsidRDefault="007A3023" w14:paraId="63E12067" wp14:textId="2BE9C87A">
            <w:pPr>
              <w:tabs>
                <w:tab w:val="left" w:pos="480"/>
              </w:tabs>
              <w:spacing w:after="0" w:line="240" w:lineRule="auto"/>
              <w:ind w:left="601" w:hanging="567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 xml:space="preserve">Skrzydło W.,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Ustrój polityczny RP w świetle Konstytucji z 1997 r.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Warszawa 2014</w:t>
            </w:r>
            <w:r w:rsidRPr="1AFA2AF8" w:rsidR="5C8C842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BB7E04" w:rsidRDefault="00BB7E04" w14:paraId="6537F28F" wp14:textId="77777777">
            <w:pPr>
              <w:spacing w:after="0" w:line="240" w:lineRule="auto"/>
            </w:pPr>
          </w:p>
        </w:tc>
      </w:tr>
      <w:tr xmlns:wp14="http://schemas.microsoft.com/office/word/2010/wordml" w:rsidR="00BB7E04" w:rsidTr="1AFA2AF8" w14:paraId="79EBC460" wp14:textId="77777777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BB7E04" w:rsidRDefault="007A3023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BB7E04" w:rsidP="1AFA2AF8" w:rsidRDefault="00E112DF" w14:paraId="3D1AFA75" wp14:textId="3A8C1A13">
            <w:pPr>
              <w:tabs>
                <w:tab w:val="left" w:pos="480"/>
              </w:tabs>
              <w:spacing w:after="0" w:line="240" w:lineRule="auto"/>
              <w:ind w:left="459" w:right="646" w:hanging="425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Antoszewski A.,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System polityczny RP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Wydawnictwo Naukowe PWN, Warszawa 2012.</w:t>
            </w:r>
          </w:p>
          <w:p w:rsidR="00BB7E04" w:rsidP="1AFA2AF8" w:rsidRDefault="007A3023" w14:paraId="749062AC" wp14:textId="77777777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Banaszak B., </w:t>
            </w: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Prawo konstytucyjne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, Warszawa 2004.</w:t>
            </w:r>
          </w:p>
          <w:p w:rsidR="00BB7E04" w:rsidP="1AFA2AF8" w:rsidRDefault="007A3023" w14:paraId="286FE028" wp14:textId="61CF94EF">
            <w:pPr>
              <w:spacing w:after="0" w:line="240" w:lineRule="auto"/>
              <w:ind w:left="460" w:hanging="426"/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Kodeks wyborczy. Wstępna ocena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Skotnicki Krzysztof,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Wydawnictwo Sejmowe, Warszawa 2011</w:t>
            </w:r>
          </w:p>
          <w:p w:rsidR="00BB7E04" w:rsidP="1AFA2AF8" w:rsidRDefault="007A3023" w14:paraId="5586D398" wp14:textId="6BB89956">
            <w:pPr>
              <w:tabs>
                <w:tab w:val="left" w:pos="460"/>
              </w:tabs>
              <w:spacing w:after="0" w:line="240" w:lineRule="auto"/>
              <w:ind w:left="459" w:right="646" w:hanging="425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AFA2AF8" w:rsidR="007A3023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  <w:u w:val="none"/>
              </w:rPr>
              <w:t>Wybory do Parlamentu Europejskiego. Prawne, polityczne i społeczne aspekty wyborów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, 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Sokala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Michalak B.,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Frydrych A., </w:t>
            </w:r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 xml:space="preserve">red. </w:t>
            </w:r>
            <w:hyperlink r:id="Rb2be85c772fa4e28">
              <w:r w:rsidRPr="1AFA2AF8" w:rsidR="007A3023">
                <w:rPr>
                  <w:rFonts w:ascii="Corbel" w:hAnsi="Corbel" w:eastAsia="Corbel" w:cs="Corbel"/>
                  <w:color w:val="auto"/>
                  <w:sz w:val="24"/>
                  <w:szCs w:val="24"/>
                  <w:u w:val="none"/>
                </w:rPr>
                <w:t xml:space="preserve">Zych R. </w:t>
              </w:r>
            </w:hyperlink>
            <w:proofErr w:type="spellStart"/>
            <w:r w:rsidRPr="1AFA2AF8" w:rsidR="007A3023">
              <w:rPr>
                <w:rFonts w:ascii="Corbel" w:hAnsi="Corbel" w:eastAsia="Corbel" w:cs="Corbel"/>
                <w:color w:val="auto"/>
                <w:sz w:val="24"/>
                <w:szCs w:val="24"/>
                <w:u w:val="none"/>
              </w:rPr>
              <w:t>TN</w:t>
            </w:r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OiK</w:t>
            </w:r>
            <w:proofErr w:type="spellEnd"/>
            <w:r w:rsidRPr="1AFA2AF8" w:rsidR="007A3023">
              <w:rPr>
                <w:rFonts w:ascii="Corbel" w:hAnsi="Corbel" w:eastAsia="Corbel" w:cs="Corbel"/>
                <w:sz w:val="24"/>
                <w:szCs w:val="24"/>
              </w:rPr>
              <w:t>, Toruń 2010.</w:t>
            </w:r>
          </w:p>
          <w:p w:rsidR="00BB7E04" w:rsidP="1AFA2AF8" w:rsidRDefault="00BB7E04" w14:paraId="70DF9E56" wp14:textId="5D25D5E5">
            <w:pPr>
              <w:tabs>
                <w:tab w:val="left" w:leader="none" w:pos="460"/>
              </w:tabs>
              <w:spacing w:after="0" w:line="240" w:lineRule="auto"/>
              <w:ind w:left="459" w:hanging="425"/>
              <w:rPr>
                <w:rFonts w:ascii="Corbel" w:hAnsi="Corbel" w:eastAsia="Corbel" w:cs="Corbel"/>
                <w:sz w:val="24"/>
                <w:szCs w:val="24"/>
              </w:rPr>
            </w:pPr>
            <w:hyperlink r:id="R6b44c7c565854183">
              <w:r w:rsidRPr="1AFA2AF8" w:rsidR="007A3023">
                <w:rPr>
                  <w:rFonts w:ascii="Corbel" w:hAnsi="Corbel" w:eastAsia="Corbel" w:cs="Corbel"/>
                  <w:color w:val="0000FF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</w:tr>
      <w:tr w:rsidR="1AFA2AF8" w:rsidTr="1AFA2AF8" w14:paraId="7432B70A"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AFA2AF8" w:rsidP="1AFA2AF8" w:rsidRDefault="1AFA2AF8" w14:paraId="1ED389D8" w14:textId="18DED7E5">
            <w:pPr>
              <w:pStyle w:val="Normalny"/>
              <w:spacing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BB7E04" w:rsidRDefault="00BB7E04" w14:paraId="44E871B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BB7E04" w14:paraId="144A5D23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BB7E04" w:rsidRDefault="007A3023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BB7E0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562"/>
    <w:multiLevelType w:val="multilevel"/>
    <w:tmpl w:val="1B8E7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4D2861"/>
    <w:multiLevelType w:val="multilevel"/>
    <w:tmpl w:val="7B0C1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E04"/>
    <w:rsid w:val="007A3023"/>
    <w:rsid w:val="00BB7E04"/>
    <w:rsid w:val="00E112DF"/>
    <w:rsid w:val="05272307"/>
    <w:rsid w:val="14D0F907"/>
    <w:rsid w:val="19517380"/>
    <w:rsid w:val="1AFA2AF8"/>
    <w:rsid w:val="1DBAFF96"/>
    <w:rsid w:val="2BC465CA"/>
    <w:rsid w:val="315F9F44"/>
    <w:rsid w:val="39796754"/>
    <w:rsid w:val="40CDB5A0"/>
    <w:rsid w:val="48807E25"/>
    <w:rsid w:val="51C192F1"/>
    <w:rsid w:val="57F8A3B0"/>
    <w:rsid w:val="5B6B02B8"/>
    <w:rsid w:val="5BE0E8F7"/>
    <w:rsid w:val="5C8C842F"/>
    <w:rsid w:val="5FABA993"/>
    <w:rsid w:val="6AB360EC"/>
    <w:rsid w:val="6BF76101"/>
    <w:rsid w:val="71333DB8"/>
    <w:rsid w:val="73B2FAAB"/>
    <w:rsid w:val="766BC2A0"/>
    <w:rsid w:val="7807EE2F"/>
    <w:rsid w:val="7D56B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2676"/>
  <w15:docId w15:val="{D412474A-43EE-4CDF-A365-8A9D5FC2A7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customXml" Target="../customXml/item1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://www.naukowa.pl/autor/Zych-Rados%C5%82aw/67358" TargetMode="External" Id="Rb2be85c772fa4e28" /><Relationship Type="http://schemas.openxmlformats.org/officeDocument/2006/relationships/hyperlink" Target="http://www.naukowa.pl/autor/Kuci%C5%84ski-Jerzy/33271" TargetMode="External" Id="R6b44c7c56585418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F9121E-40F8-4EBB-929E-60878EE27DC5}"/>
</file>

<file path=customXml/itemProps2.xml><?xml version="1.0" encoding="utf-8"?>
<ds:datastoreItem xmlns:ds="http://schemas.openxmlformats.org/officeDocument/2006/customXml" ds:itemID="{EB4484DF-7C1E-4C0C-A976-04872AE4B408}"/>
</file>

<file path=customXml/itemProps3.xml><?xml version="1.0" encoding="utf-8"?>
<ds:datastoreItem xmlns:ds="http://schemas.openxmlformats.org/officeDocument/2006/customXml" ds:itemID="{D150AF5B-8117-4988-A5DE-EB0B526560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Szczepański Dominik</cp:lastModifiedBy>
  <cp:revision>12</cp:revision>
  <dcterms:created xsi:type="dcterms:W3CDTF">2021-01-04T09:13:00Z</dcterms:created>
  <dcterms:modified xsi:type="dcterms:W3CDTF">2021-11-19T20:57:12Z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